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DD" w:rsidRDefault="00DF63DD">
      <w:r>
        <w:rPr>
          <w:rFonts w:hint="eastAsia"/>
        </w:rPr>
        <w:t>Some Call it Fiction: on the Politics of Domesticity (913</w:t>
      </w:r>
      <w:r>
        <w:t>)</w:t>
      </w:r>
      <w:bookmarkStart w:id="0" w:name="_GoBack"/>
      <w:bookmarkEnd w:id="0"/>
    </w:p>
    <w:p w:rsidR="00DF63DD" w:rsidRDefault="00DF63DD"/>
    <w:p w:rsidR="001B2E1D" w:rsidRDefault="00DF63DD">
      <w:r>
        <w:rPr>
          <w:rFonts w:hint="eastAsia"/>
        </w:rPr>
        <w:t xml:space="preserve">914 down the barrier between culture and state. </w:t>
      </w:r>
      <w:r>
        <w:t xml:space="preserve">They demonstrate that the middle class hegemony succeeded in part because it constructed separate historical </w:t>
      </w:r>
      <w:proofErr w:type="spellStart"/>
      <w:r>
        <w:t>nar</w:t>
      </w:r>
      <w:proofErr w:type="spellEnd"/>
      <w:r>
        <w:t>-</w:t>
      </w:r>
    </w:p>
    <w:p w:rsidR="00DF63DD" w:rsidRDefault="00DF63DD">
      <w:r>
        <w:t>915 Much of British fiction exists at the intersection of these two definitively mod-ern subsets of culture and is thereby twice removed from the mainstream of political</w:t>
      </w:r>
    </w:p>
    <w:p w:rsidR="00DF63DD" w:rsidRDefault="00DF63DD">
      <w:r>
        <w:t>916 another, it has achieved the status of a paradigm. In its atomizing structure, political issues get lost. Everything matters. All truths are equivalent—only some</w:t>
      </w:r>
    </w:p>
    <w:p w:rsidR="00DF63DD" w:rsidRDefault="00DF63DD">
      <w:r>
        <w:t xml:space="preserve">917 </w:t>
      </w:r>
      <w:proofErr w:type="spellStart"/>
      <w:r>
        <w:t>stitutional</w:t>
      </w:r>
      <w:proofErr w:type="spellEnd"/>
      <w:r>
        <w:t xml:space="preserve"> power to saturate and make intelligible the theory of discipline. Despite the anti-Cartesian thrust of his work, Foucault does not finally break</w:t>
      </w:r>
    </w:p>
    <w:p w:rsidR="00DF63DD" w:rsidRDefault="00DF63DD">
      <w:r>
        <w:t>918 to appear. But,” he continues, “there was also a political dream of the plague, which was exactly its reverse: not the collective festival, but strict divisions; not</w:t>
      </w:r>
    </w:p>
    <w:p w:rsidR="00DF63DD" w:rsidRDefault="00DF63DD">
      <w:r>
        <w:t>919 through wages paid to men. Indeed, it remains extremely powerful to this day as both metaphor and metonymy, the unacknowledged model and source of</w:t>
      </w:r>
    </w:p>
    <w:p w:rsidR="00DF63DD" w:rsidRDefault="00DF63DD">
      <w:r>
        <w:t>920 on scales, through medical exams, and by means of any number of other such practices. Thus we internalize a state that is founded on the conflict between self</w:t>
      </w:r>
    </w:p>
    <w:p w:rsidR="00DF63DD" w:rsidRDefault="00DF63DD">
      <w:r>
        <w:t>921 lowers the tone of the mind, and induces indifference for those common pleasures and occupations which… constitute by far the greatest portion of our</w:t>
      </w:r>
    </w:p>
    <w:p w:rsidR="00DF63DD" w:rsidRDefault="00DF63DD">
      <w:r>
        <w:t>922 a self-enclosed social unit. But if these authors wanted to define the family as an independent source of authority, their moment did not arrive. The puritan household</w:t>
      </w:r>
    </w:p>
    <w:p w:rsidR="00DF63DD" w:rsidRDefault="00DF63DD">
      <w:r>
        <w:t xml:space="preserve">923 adopted one modeled on the educational theory that grew up around the </w:t>
      </w:r>
      <w:proofErr w:type="spellStart"/>
      <w:r>
        <w:t>Edgeworths</w:t>
      </w:r>
      <w:proofErr w:type="spellEnd"/>
      <w:r>
        <w:t xml:space="preserve"> and their intellectual circle, the heirs of the dissenting tradition.</w:t>
      </w:r>
    </w:p>
    <w:p w:rsidR="00DF63DD" w:rsidRDefault="00DF63DD">
      <w:r>
        <w:t>924 Whether or not girls should read novels was the concern that shaped the debates over a curriculum for women during the eighteenth century, then nineteenth-</w:t>
      </w:r>
    </w:p>
    <w:p w:rsidR="00DF63DD" w:rsidRDefault="00DF63DD">
      <w:r>
        <w:t>925 vastly different in social space and time quickly translate into aspects of modern consciousness.</w:t>
      </w:r>
    </w:p>
    <w:p w:rsidR="00DF63DD" w:rsidRDefault="00DF63DD">
      <w:r>
        <w:t>926 text. Although its setting-during the Luddite rebellions—makes Shirley anachronistic by about thirty years, the solution it proposes for the problem of political</w:t>
      </w:r>
    </w:p>
    <w:p w:rsidR="00DF63DD" w:rsidRPr="00DF63DD" w:rsidRDefault="00DF63DD">
      <w:r>
        <w:t>927 Whenever we cast our political lot in the dyadic formation of gender, we place ourselves in a classic double bind, which confines us to alternatives that are not</w:t>
      </w:r>
    </w:p>
    <w:sectPr w:rsidR="00DF63DD" w:rsidRPr="00DF63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DD"/>
    <w:rsid w:val="001B2E1D"/>
    <w:rsid w:val="00855440"/>
    <w:rsid w:val="00D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18EE2-9C08-4464-8098-26AE5F24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54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2016-04-12T04:36:00Z</cp:lastPrinted>
  <dcterms:created xsi:type="dcterms:W3CDTF">2016-04-12T04:26:00Z</dcterms:created>
  <dcterms:modified xsi:type="dcterms:W3CDTF">2016-04-12T04:37:00Z</dcterms:modified>
</cp:coreProperties>
</file>